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a44m5zwnq024"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Arthur Johnson, Anthony Morelli, Mark Hillman, Valerie Muratori, Heidi Owen West, Scott Ostrander, Ian Murray, </w:t>
      </w:r>
    </w:p>
    <w:p w:rsidR="00000000" w:rsidDel="00000000" w:rsidP="00000000" w:rsidRDefault="00000000" w:rsidRPr="00000000" w14:paraId="00000003">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Staff: Mike Sharp CFO; Matthew Veitch, CEO; Katherine Tiedemann, Administrative Secretary; James Carminucci, Counsel,</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Shannon Wagner; Counsel </w:t>
      </w:r>
    </w:p>
    <w:p w:rsidR="00000000" w:rsidDel="00000000" w:rsidP="00000000" w:rsidRDefault="00000000" w:rsidRPr="00000000" w14:paraId="00000004">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Call to Order at 4:30 pm</w:t>
      </w:r>
      <w:r w:rsidDel="00000000" w:rsidR="00000000" w:rsidRPr="00000000">
        <w:rPr>
          <w:rtl w:val="0"/>
        </w:rPr>
      </w:r>
    </w:p>
    <w:p w:rsidR="00000000" w:rsidDel="00000000" w:rsidP="00000000" w:rsidRDefault="00000000" w:rsidRPr="00000000" w14:paraId="00000005">
      <w:pPr>
        <w:spacing w:line="240" w:lineRule="auto"/>
        <w:rPr>
          <w:rFonts w:ascii="Times New Roman" w:cs="Times New Roman" w:eastAsia="Times New Roman" w:hAnsi="Times New Roman"/>
          <w:b w:val="1"/>
          <w:bCs w:val="1"/>
          <w:sz w:val="24"/>
          <w:szCs w:val="24"/>
          <w:highlight w:val="yellow"/>
          <w:u w:val="single"/>
        </w:rPr>
      </w:pPr>
      <w:r w:rsidDel="00000000" w:rsidR="00000000" w:rsidRPr="00000000">
        <w:rPr>
          <w:rtl w:val="0"/>
        </w:rPr>
      </w:r>
    </w:p>
    <w:p w:rsidR="00000000" w:rsidDel="00000000" w:rsidP="00000000" w:rsidRDefault="00000000" w:rsidRPr="00000000" w14:paraId="00000006">
      <w:pPr>
        <w:rPr/>
      </w:pPr>
      <w:r w:rsidDel="00000000" w:rsidR="00000000" w:rsidRPr="00000000">
        <w:rPr>
          <w:rFonts w:ascii="Times New Roman" w:cs="Times New Roman" w:eastAsia="Times New Roman" w:hAnsi="Times New Roman"/>
          <w:b w:val="1"/>
          <w:bCs w:val="1"/>
          <w:sz w:val="24"/>
          <w:szCs w:val="24"/>
          <w:u w:val="single"/>
          <w:rtl w:val="0"/>
        </w:rPr>
        <w:t xml:space="preserve">Approval of October 23, 2025 Meeting Minutes </w:t>
      </w:r>
      <w:r w:rsidDel="00000000" w:rsidR="00000000" w:rsidRPr="00000000">
        <w:rPr>
          <w:rtl w:val="0"/>
        </w:rPr>
      </w:r>
    </w:p>
    <w:p w:rsidR="00000000" w:rsidDel="00000000" w:rsidP="00000000" w:rsidRDefault="00000000" w:rsidRPr="00000000" w14:paraId="00000007">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Muratori made a motion to approve the minutes for October 23, 2025 and it was seconded by Mr. Hillman. There was no further discussion. All board members voted in favor. </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Times New Roman" w:cs="Times New Roman" w:eastAsia="Times New Roman" w:hAnsi="Times New Roman"/>
          <w:b w:val="1"/>
          <w:bCs w:val="1"/>
          <w:sz w:val="24"/>
          <w:szCs w:val="24"/>
          <w:u w:val="single"/>
          <w:rtl w:val="0"/>
        </w:rPr>
        <w:t xml:space="preserve">Approval of January 8, 2026 Meeting Minutes </w:t>
      </w:r>
      <w:r w:rsidDel="00000000" w:rsidR="00000000" w:rsidRPr="00000000">
        <w:rPr>
          <w:rtl w:val="0"/>
        </w:rPr>
      </w:r>
    </w:p>
    <w:p w:rsidR="00000000" w:rsidDel="00000000" w:rsidP="00000000" w:rsidRDefault="00000000" w:rsidRPr="00000000" w14:paraId="0000000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Muratori made a motion to approve the minutes for January 8, 2026 and it was seconded by Mr. Hillman. There was no further discussion. All board members voted in favor. </w:t>
      </w:r>
    </w:p>
    <w:p w:rsidR="00000000" w:rsidDel="00000000" w:rsidP="00000000" w:rsidRDefault="00000000" w:rsidRPr="00000000" w14:paraId="0000000B">
      <w:pPr>
        <w:spacing w:after="240" w:before="240" w:lineRule="auto"/>
        <w:rPr>
          <w:rFonts w:ascii="Roboto" w:cs="Roboto" w:eastAsia="Roboto" w:hAnsi="Roboto"/>
          <w:b w:val="1"/>
          <w:bCs w:val="1"/>
          <w:color w:val="475569"/>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Invoices for approval</w:t>
      </w: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Approved payments for</w:t>
      </w:r>
    </w:p>
    <w:p w:rsidR="00000000" w:rsidDel="00000000" w:rsidP="00000000" w:rsidRDefault="00000000" w:rsidRPr="00000000" w14:paraId="0000000D">
      <w:pPr>
        <w:numPr>
          <w:ilvl w:val="0"/>
          <w:numId w:val="1"/>
        </w:numPr>
        <w:spacing w:line="24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Ms. Tiedemann (secretarial services): $300</w:t>
      </w:r>
    </w:p>
    <w:p w:rsidR="00000000" w:rsidDel="00000000" w:rsidP="00000000" w:rsidRDefault="00000000" w:rsidRPr="00000000" w14:paraId="0000000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 2025 Year-End Financials (2025)</w:t>
      </w:r>
      <w:r w:rsidDel="00000000" w:rsidR="00000000" w:rsidRPr="00000000">
        <w:rPr>
          <w:rtl w:val="0"/>
        </w:rPr>
      </w:r>
    </w:p>
    <w:p w:rsidR="00000000" w:rsidDel="00000000" w:rsidP="00000000" w:rsidRDefault="00000000" w:rsidRPr="00000000" w14:paraId="0000001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reviewed the 2025 year-end financials, referencing pages 10–15 of the board packet. The balance sheet showed approximately $191,000 in checking and savings accounts and about $215,000 in certificates of deposit. There was discussion regarding whether to include an anticipated $25,000 bond administration fee from the county in the 2026 budget; it was noted that this amount has not yet been included because it is a future receipt. The Profit and Loss vs. Actual report indicated the organization was over budget by approximately $36,000, largely due to $25,000 in bond administration fees exceeding projections, along with related additional interest income. The previous CEO completed the reconciliations, with transactions and post-year-end reconciliations noted. Mr. Sharp and Mr. Veitch led a discussion on financial policies, including limits for checking, savings, and CDs, triggers for moving funds, and an assessment of current policies and potential updates. They also discussed the lineup of financial institutions and noted increased flexibility in bank selection following the former CEO’s departure. The audit process has begun, with ABO requesting required documents. Mike reported that bond balances have been provided to the auditors, and coordination is ongoing, including communication with former staff to obtain outstanding details. There was no further discussion. All board members voted in favor. </w:t>
      </w:r>
    </w:p>
    <w:p w:rsidR="00000000" w:rsidDel="00000000" w:rsidP="00000000" w:rsidRDefault="00000000" w:rsidRPr="00000000" w14:paraId="0000001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ABO Filing Status and Audit Coordination</w:t>
      </w:r>
    </w:p>
    <w:p w:rsidR="00000000" w:rsidDel="00000000" w:rsidP="00000000" w:rsidRDefault="00000000" w:rsidRPr="00000000" w14:paraId="00000013">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ABO filing has not yet been submitted and is due at the end of March. Plans are in place to attend the March 12 training for newly appointed CEOs to ensure the filing is completed accurately. The former CEO has been removed from all filings and contacts have been updated accordingly. Regarding the audit, ABO have begun outreach for information and are conducting confirmations with counterparties; the process is expected to proceed smoothly, with no issues identified to date. The results of the audit and the completed ABO filing will be presented at the next board meeting scheduled for April 30, 2026.</w:t>
      </w:r>
    </w:p>
    <w:p w:rsidR="00000000" w:rsidDel="00000000" w:rsidP="00000000" w:rsidRDefault="00000000" w:rsidRPr="00000000" w14:paraId="0000001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Proposed Fee Structure Revision</w:t>
      </w:r>
      <w:r w:rsidDel="00000000" w:rsidR="00000000" w:rsidRPr="00000000">
        <w:rPr>
          <w:rtl w:val="0"/>
        </w:rPr>
      </w:r>
    </w:p>
    <w:p w:rsidR="00000000" w:rsidDel="00000000" w:rsidP="00000000" w:rsidRDefault="00000000" w:rsidRPr="00000000" w14:paraId="00000017">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1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discussed a proposed revision to the fee structure, noting that it was last updated in 2012 and later reduced in an effort to attract more business. Recent experiences, including the BOCES project, demonstrated that the reduced fees were too low and resulted in lost revenue. The proposal is to return to the original, higher fee structure, mirroring those of other IDAs in the county, while maintaining an application fee. As there are no current active applications, no projects will need to be grandfathered in; the revised structure will apply to all new business moving forward. The board also discussed alignment with other local IDAs and potential impacts on bond refinancing projects, such as those involving Skidmore and the local hospital. It was noted that the proposed fees are consistent with other county IDAs, while fee structures outside the county, such as the dormitory authority, are generally higher or negotiable. A motion to adopt the revised fee structure was made, seconded, and carried, and the changes take effect immediately for all new applications.</w:t>
      </w:r>
    </w:p>
    <w:p w:rsidR="00000000" w:rsidDel="00000000" w:rsidP="00000000" w:rsidRDefault="00000000" w:rsidRPr="00000000" w14:paraId="0000001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Code Blue Facility Project Update</w:t>
      </w:r>
      <w:r w:rsidDel="00000000" w:rsidR="00000000" w:rsidRPr="00000000">
        <w:rPr>
          <w:rtl w:val="0"/>
        </w:rPr>
      </w:r>
    </w:p>
    <w:p w:rsidR="00000000" w:rsidDel="00000000" w:rsidP="00000000" w:rsidRDefault="00000000" w:rsidRPr="00000000" w14:paraId="0000001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discussed the current status of the forthcoming housing projects, noting that the county intends to act as lead agency. Formal consent has been submitted to the county and acknowledgment has been received. Due to the impact of real estate negotiations on property value, portions of the discussion were held in executive session. During that session, the board reviewed project details, including that the LA Group has been contracted by the Shelters of Saratoga for design services, and that architectural plans and appraisals have been reviewed. The proposed facility would include 75 beds, with surge capacity up to 118 beds, and designated sections for men, women, seniors, and individuals with special needs, totaling approximately 22,000–25,000 square feet. There was also consideration of a historic building on the site, with recognition of potential community and historic preservation implications.</w:t>
      </w:r>
    </w:p>
    <w:p w:rsidR="00000000" w:rsidDel="00000000" w:rsidP="00000000" w:rsidRDefault="00000000" w:rsidRPr="00000000" w14:paraId="0000001D">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proposed lease structure involves the county leasing the land to CRC for $12,000 per year, with CRC passing that obligation through to the Shelters. CRC’s role is necessary because the county cannot grant leases longer than 10 years, whereas CRC can facilitate a 40-year lease structure. During the lease term, the Shelters will own the buildings. The fate of the existing building on the site remains undecided and could become controversial if demolition is pursued. Construction costs are estimated at $7–8 million, to be raised entirely through fundraising, with approximately 50 percent already pledged. The board expressed concerns about potential construction overruns or fundraising shortfalls and emphasized the need for safeguards to ensure construction does not begin until adequate funding is secured. It was noted that the county would remain environmentally liable for pre-existing conditions, while CRC seeks to limit its liability in relation to the Shelters, and additional liability insurance may be necessary. There is also the potential for CRC to serve as issuer should the Shelters pursue bond financing.</w:t>
      </w:r>
    </w:p>
    <w:p w:rsidR="00000000" w:rsidDel="00000000" w:rsidP="00000000" w:rsidRDefault="00000000" w:rsidRPr="00000000" w14:paraId="0000001E">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part of the public process, the County Board of Supervisors will adopt a resolution to serve as lead agency and schedule a public hearing on March 11, 2026, at 4:40 p.m. regarding the lease and SEQRA review. Assurances were given regarding transparency and opportunities for public comment. The anticipated timeline includes lease approval in April, followed by required state notifications due to the below-market disposition of the property. CRC will continue negotiations with the goal of limiting liability and administrative costs, and special meetings may be scheduled if additional board action is required between regular meetings.</w:t>
      </w:r>
    </w:p>
    <w:p w:rsidR="00000000" w:rsidDel="00000000" w:rsidP="00000000" w:rsidRDefault="00000000" w:rsidRPr="00000000" w14:paraId="0000001F">
      <w:pPr>
        <w:pStyle w:val="Heading3"/>
        <w:keepNext w:val="0"/>
        <w:keepLines w:val="0"/>
        <w:pBdr>
          <w:top w:color="auto" w:space="15" w:sz="0" w:val="none"/>
        </w:pBdr>
        <w:shd w:fill="ffffff" w:val="clear"/>
        <w:spacing w:before="280" w:lineRule="auto"/>
        <w:rPr>
          <w:rFonts w:ascii="Times New Roman" w:cs="Times New Roman" w:eastAsia="Times New Roman" w:hAnsi="Times New Roman"/>
          <w:sz w:val="24"/>
          <w:szCs w:val="24"/>
        </w:rPr>
      </w:pPr>
      <w:bookmarkStart w:colFirst="0" w:colLast="0" w:name="_jvewf729esiv" w:id="1"/>
      <w:bookmarkEnd w:id="1"/>
      <w:r w:rsidDel="00000000" w:rsidR="00000000" w:rsidRPr="00000000">
        <w:rPr>
          <w:rFonts w:ascii="Times New Roman" w:cs="Times New Roman" w:eastAsia="Times New Roman" w:hAnsi="Times New Roman"/>
          <w:b w:val="1"/>
          <w:bCs w:val="1"/>
          <w:color w:val="000000"/>
          <w:sz w:val="24"/>
          <w:szCs w:val="24"/>
          <w:u w:val="single"/>
          <w:rtl w:val="0"/>
        </w:rPr>
        <w:t xml:space="preserve">Small Business Grant Program Update</w:t>
      </w:r>
      <w:r w:rsidDel="00000000" w:rsidR="00000000" w:rsidRPr="00000000">
        <w:rPr>
          <w:rtl w:val="0"/>
        </w:rPr>
      </w:r>
    </w:p>
    <w:p w:rsidR="00000000" w:rsidDel="00000000" w:rsidP="00000000" w:rsidRDefault="00000000" w:rsidRPr="00000000" w14:paraId="00000020">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discussed funding and program development related to the county’s award of $25,000 in seed funding to CRC. Before CRC can accept the funds, the county requires proof of liability insurance. An inquiry has been sent to the county administrator to clarify the applicability of this requirement given CRC’s close relationship with the county, and a review is underway to determine whether current policies include general liability coverage or only directors’ insurance. In designing the program, the board looked to the Washington County LDC as a model, noting that its program focuses more on agricultural and smaller commercial loans, often matching bank financing for local businesses and offering flexible, gap, or larger loan options. CRC envisions a stronger emphasis on small business and commercial lending but recognizes that administration and compliance will be more work-intensive, particularly given current staffing limitations.</w:t>
      </w:r>
    </w:p>
    <w:p w:rsidR="00000000" w:rsidDel="00000000" w:rsidP="00000000" w:rsidRDefault="00000000" w:rsidRPr="00000000" w14:paraId="00000022">
      <w:pPr>
        <w:spacing w:after="240" w:before="24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Interest rates would typically align with those of partnering banks, though there is some flexibility. The board will need to establish procedures, administrative structures, and compliance processes before launching the program. The county will audit the use of the grant funds, which must be applied to program startup and administration. It was also noted that previous grants totaling $8,000 in 2025 were funded through CRC’s own budget, not through county grant funds. Plans are in place to market the program once the necessary infrastructure and requirements are established. A motion was made, seconded, and approved authorizing the Chair to accept the county funding, with further action needed regarding insurance coverage and administrative capacity.</w:t>
      </w:r>
    </w:p>
    <w:p w:rsidR="00000000" w:rsidDel="00000000" w:rsidP="00000000" w:rsidRDefault="00000000" w:rsidRPr="00000000" w14:paraId="00000023">
      <w:pPr>
        <w:spacing w:after="240" w:before="240" w:line="240" w:lineRule="auto"/>
        <w:rPr>
          <w:rFonts w:ascii="Roboto" w:cs="Roboto" w:eastAsia="Roboto" w:hAnsi="Roboto"/>
          <w:color w:val="475569"/>
        </w:rPr>
      </w:pPr>
      <w:r w:rsidDel="00000000" w:rsidR="00000000" w:rsidRPr="00000000">
        <w:rPr>
          <w:rFonts w:ascii="Times New Roman" w:cs="Times New Roman" w:eastAsia="Times New Roman" w:hAnsi="Times New Roman"/>
          <w:b w:val="1"/>
          <w:bCs w:val="1"/>
          <w:sz w:val="24"/>
          <w:szCs w:val="24"/>
          <w:u w:val="single"/>
          <w:rtl w:val="0"/>
        </w:rPr>
        <w:t xml:space="preserve">Signatory resolution for BSNB</w:t>
      </w:r>
      <w:r w:rsidDel="00000000" w:rsidR="00000000" w:rsidRPr="00000000">
        <w:rPr>
          <w:rtl w:val="0"/>
        </w:rPr>
      </w:r>
    </w:p>
    <w:p w:rsidR="00000000" w:rsidDel="00000000" w:rsidP="00000000" w:rsidRDefault="00000000" w:rsidRPr="00000000" w14:paraId="00000024">
      <w:pPr>
        <w:shd w:fill="ffffff" w:val="clear"/>
        <w:spacing w:after="240" w:before="240" w:lineRule="auto"/>
        <w:rPr>
          <w:rFonts w:ascii="Roboto" w:cs="Roboto" w:eastAsia="Roboto" w:hAnsi="Roboto"/>
          <w:color w:val="475569"/>
          <w:sz w:val="24"/>
          <w:szCs w:val="24"/>
        </w:rPr>
      </w:pPr>
      <w:r w:rsidDel="00000000" w:rsidR="00000000" w:rsidRPr="00000000">
        <w:rPr>
          <w:rFonts w:ascii="Times New Roman" w:cs="Times New Roman" w:eastAsia="Times New Roman" w:hAnsi="Times New Roman"/>
          <w:sz w:val="24"/>
          <w:szCs w:val="24"/>
          <w:rtl w:val="0"/>
        </w:rPr>
        <w:t xml:space="preserve">Ballston Spa National Bank required an updated resolution to designate current signatories (Mr. Morelli; Chair, Ms. Muratori, and Mr. Johnson).  Formal signatory resolution adopted by board</w:t>
      </w:r>
      <w:r w:rsidDel="00000000" w:rsidR="00000000" w:rsidRPr="00000000">
        <w:rPr>
          <w:rFonts w:ascii="Roboto" w:cs="Roboto" w:eastAsia="Roboto" w:hAnsi="Roboto"/>
          <w:color w:val="475569"/>
          <w:sz w:val="24"/>
          <w:szCs w:val="24"/>
          <w:rtl w:val="0"/>
        </w:rPr>
        <w:t xml:space="preserve">.</w:t>
      </w:r>
    </w:p>
    <w:p w:rsidR="00000000" w:rsidDel="00000000" w:rsidP="00000000" w:rsidRDefault="00000000" w:rsidRPr="00000000" w14:paraId="00000025">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Hillman made a motion to approve appointing staff for bank account access required by bank (for prior and ongoing account changes) and it was seconded by Ms. Muratori. There was no further discussion. All board members voted in favor. </w:t>
      </w:r>
    </w:p>
    <w:p w:rsidR="00000000" w:rsidDel="00000000" w:rsidP="00000000" w:rsidRDefault="00000000" w:rsidRPr="00000000" w14:paraId="00000026">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27">
      <w:pPr>
        <w:keepLines w:val="1"/>
        <w:widowControl w:val="0"/>
        <w:spacing w:after="80" w:before="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Staff Appointment Resolution</w:t>
      </w:r>
      <w:r w:rsidDel="00000000" w:rsidR="00000000" w:rsidRPr="00000000">
        <w:rPr>
          <w:rtl w:val="0"/>
        </w:rPr>
      </w:r>
    </w:p>
    <w:p w:rsidR="00000000" w:rsidDel="00000000" w:rsidP="00000000" w:rsidRDefault="00000000" w:rsidRPr="00000000" w14:paraId="00000028">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 Johnson made a motion to approve staff appointments and it was seconded by Mr. Ostrander. There was no further discussion. All board members voted in favor. </w:t>
      </w:r>
    </w:p>
    <w:p w:rsidR="00000000" w:rsidDel="00000000" w:rsidP="00000000" w:rsidRDefault="00000000" w:rsidRPr="00000000" w14:paraId="0000002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keepLines w:val="1"/>
        <w:widowControl w:val="0"/>
        <w:spacing w:after="80" w:before="160"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Authorization for Chair to Accept County Funding</w:t>
      </w:r>
    </w:p>
    <w:p w:rsidR="00000000" w:rsidDel="00000000" w:rsidP="00000000" w:rsidRDefault="00000000" w:rsidRPr="00000000" w14:paraId="0000002B">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sz w:val="24"/>
          <w:szCs w:val="24"/>
          <w:rtl w:val="0"/>
        </w:rPr>
        <w:t xml:space="preserve">Mr. Johnson made a motion to approve the chair, to accept $25,000 of county funding and it was seconded by Mr. Hillman. There was no further discussion. All board members voted in favor. </w:t>
      </w: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Meeting Scheduling and Committee Appointments</w:t>
      </w:r>
    </w:p>
    <w:p w:rsidR="00000000" w:rsidDel="00000000" w:rsidP="00000000" w:rsidRDefault="00000000" w:rsidRPr="00000000" w14:paraId="0000002F">
      <w:pPr>
        <w:shd w:fill="ffffff" w:val="clear"/>
        <w:spacing w:after="240" w:before="240" w:lineRule="auto"/>
        <w:rPr>
          <w:rFonts w:ascii="Roboto" w:cs="Roboto" w:eastAsia="Roboto" w:hAnsi="Roboto"/>
          <w:color w:val="475569"/>
          <w:sz w:val="24"/>
          <w:szCs w:val="24"/>
        </w:rPr>
      </w:pPr>
      <w:r w:rsidDel="00000000" w:rsidR="00000000" w:rsidRPr="00000000">
        <w:rPr>
          <w:rFonts w:ascii="Times New Roman" w:cs="Times New Roman" w:eastAsia="Times New Roman" w:hAnsi="Times New Roman"/>
          <w:sz w:val="24"/>
          <w:szCs w:val="24"/>
          <w:rtl w:val="0"/>
        </w:rPr>
        <w:t xml:space="preserve">Scheduled for April 30, 2026, at 4:30 PM</w:t>
      </w:r>
      <w:r w:rsidDel="00000000" w:rsidR="00000000" w:rsidRPr="00000000">
        <w:rPr>
          <w:rFonts w:ascii="Roboto" w:cs="Roboto" w:eastAsia="Roboto" w:hAnsi="Roboto"/>
          <w:color w:val="475569"/>
          <w:sz w:val="24"/>
          <w:szCs w:val="24"/>
          <w:rtl w:val="0"/>
        </w:rPr>
        <w:t xml:space="preserve">.</w:t>
      </w:r>
    </w:p>
    <w:p w:rsidR="00000000" w:rsidDel="00000000" w:rsidP="00000000" w:rsidRDefault="00000000" w:rsidRPr="00000000" w14:paraId="00000030">
      <w:pPr>
        <w:widowControl w:val="0"/>
        <w:spacing w:after="80" w:before="160" w:line="240" w:lineRule="auto"/>
        <w:rPr>
          <w:rFonts w:ascii="Roboto" w:cs="Roboto" w:eastAsia="Roboto" w:hAnsi="Roboto"/>
          <w:color w:val="475569"/>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2026 Committee Assignments</w:t>
      </w: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Have been updated and reflected on page 16. </w:t>
      </w:r>
    </w:p>
    <w:p w:rsidR="00000000" w:rsidDel="00000000" w:rsidP="00000000" w:rsidRDefault="00000000" w:rsidRPr="00000000" w14:paraId="00000033">
      <w:pPr>
        <w:widowControl w:val="0"/>
        <w:spacing w:after="80" w:before="16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Other Business</w:t>
      </w:r>
      <w:r w:rsidDel="00000000" w:rsidR="00000000" w:rsidRPr="00000000">
        <w:rPr>
          <w:rtl w:val="0"/>
        </w:rPr>
      </w:r>
    </w:p>
    <w:p w:rsidR="00000000" w:rsidDel="00000000" w:rsidP="00000000" w:rsidRDefault="00000000" w:rsidRPr="00000000" w14:paraId="00000034">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40" w:lineRule="auto"/>
        <w:rPr>
          <w:rFonts w:ascii="Roboto" w:cs="Roboto" w:eastAsia="Roboto" w:hAnsi="Roboto"/>
          <w:color w:val="475569"/>
        </w:rPr>
      </w:pPr>
      <w:r w:rsidDel="00000000" w:rsidR="00000000" w:rsidRPr="00000000">
        <w:rPr>
          <w:rFonts w:ascii="Times New Roman" w:cs="Times New Roman" w:eastAsia="Times New Roman" w:hAnsi="Times New Roman"/>
          <w:sz w:val="24"/>
          <w:szCs w:val="24"/>
          <w:rtl w:val="0"/>
        </w:rPr>
        <w:t xml:space="preserve">2025 end-of-year financials recently delivered and loaded into QuickBooks. 90-day deadline for annual ABO (Authorities Budget Office) filing; audit firm supports compliance. Active cleanup/transition of accounts, devices, and physical/digital records from previous leadership. Finance committee tasked with reviewing use/rollover of CDs and cash balances across bank accounts. Auditors engaged; in communication regarding reporting, 1099s, and other requirements. </w:t>
      </w:r>
      <w:r w:rsidDel="00000000" w:rsidR="00000000" w:rsidRPr="00000000">
        <w:rPr>
          <w:rtl w:val="0"/>
        </w:rPr>
      </w:r>
    </w:p>
    <w:p w:rsidR="00000000" w:rsidDel="00000000" w:rsidP="00000000" w:rsidRDefault="00000000" w:rsidRPr="00000000" w14:paraId="00000036">
      <w:pPr>
        <w:shd w:fill="ffffff" w:val="clea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 members asked to complete:</w:t>
      </w:r>
    </w:p>
    <w:p w:rsidR="00000000" w:rsidDel="00000000" w:rsidP="00000000" w:rsidRDefault="00000000" w:rsidRPr="00000000" w14:paraId="00000037">
      <w:pPr>
        <w:shd w:fill="ffffff" w:val="clear"/>
        <w:spacing w:after="240" w:befor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ABO fiduciary acknowledgement forms (to be retained on file for compliance).</w:t>
      </w:r>
    </w:p>
    <w:p w:rsidR="00000000" w:rsidDel="00000000" w:rsidP="00000000" w:rsidRDefault="00000000" w:rsidRPr="00000000" w14:paraId="00000038">
      <w:pPr>
        <w:shd w:fill="ffffff" w:val="clear"/>
        <w:spacing w:after="240" w:befor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Annual board evaluation forms (results confidential, filed for ABO compliance).</w:t>
      </w:r>
    </w:p>
    <w:p w:rsidR="00000000" w:rsidDel="00000000" w:rsidP="00000000" w:rsidRDefault="00000000" w:rsidRPr="00000000" w14:paraId="00000039">
      <w:pPr>
        <w:spacing w:line="240" w:lineRule="auto"/>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3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The meeting adjourned at 5:25 pm. </w:t>
      </w:r>
      <w:r w:rsidDel="00000000" w:rsidR="00000000" w:rsidRPr="00000000">
        <w:rPr>
          <w:rtl w:val="0"/>
        </w:rPr>
      </w:r>
    </w:p>
    <w:p w:rsidR="00000000" w:rsidDel="00000000" w:rsidP="00000000" w:rsidRDefault="00000000" w:rsidRPr="00000000" w14:paraId="0000003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Mrs. Muratori made a motion to adjourn at 5:25 pm, Ms. West seconded. Next meeting is set for April 23, 2026, 4:30 PM. </w:t>
      </w:r>
    </w:p>
    <w:p w:rsidR="00000000" w:rsidDel="00000000" w:rsidP="00000000" w:rsidRDefault="00000000" w:rsidRPr="00000000" w14:paraId="0000003C">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before="240" w:line="240" w:lineRule="auto"/>
        <w:jc w:val="both"/>
        <w:rPr/>
      </w:pPr>
      <w:r w:rsidDel="00000000" w:rsidR="00000000" w:rsidRPr="00000000">
        <w:rPr>
          <w:rFonts w:ascii="Times New Roman" w:cs="Times New Roman" w:eastAsia="Times New Roman" w:hAnsi="Times New Roman"/>
          <w:sz w:val="24"/>
          <w:szCs w:val="24"/>
          <w:rtl w:val="0"/>
        </w:rPr>
        <w:t xml:space="preserve">Secretary________________________________  Date__________</w:t>
      </w:r>
      <w:r w:rsidDel="00000000" w:rsidR="00000000" w:rsidRPr="00000000">
        <w:rPr>
          <w:rtl w:val="0"/>
        </w:rPr>
      </w:r>
    </w:p>
    <w:p w:rsidR="00000000" w:rsidDel="00000000" w:rsidP="00000000" w:rsidRDefault="00000000" w:rsidRPr="00000000" w14:paraId="0000003F">
      <w:pPr>
        <w:spacing w:line="240" w:lineRule="auto"/>
        <w:rPr>
          <w:rFonts w:ascii="Times New Roman" w:cs="Times New Roman" w:eastAsia="Times New Roman" w:hAnsi="Times New Roman"/>
          <w:sz w:val="24"/>
          <w:szCs w:val="24"/>
        </w:rPr>
      </w:pPr>
      <w:r w:rsidDel="00000000" w:rsidR="00000000" w:rsidRPr="00000000">
        <w:rPr>
          <w:rtl w:val="0"/>
        </w:rPr>
      </w:r>
    </w:p>
    <w:sectPr>
      <w:headerReference r:id="rId6" w:type="default"/>
      <w:headerReference r:id="rId7" w:type="first"/>
      <w:footerReference r:id="rId8" w:type="first"/>
      <w:type w:val="nextPage"/>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pStyle w:val="Heading1"/>
      <w:keepLines w:val="0"/>
      <w:widowControl w:val="0"/>
      <w:pBdr>
        <w:top w:color="auto" w:space="15" w:sz="0" w:val="none"/>
      </w:pBdr>
      <w:spacing w:after="0" w:before="480" w:line="240" w:lineRule="auto"/>
      <w:rPr>
        <w:rFonts w:ascii="Times New Roman" w:cs="Times New Roman" w:eastAsia="Times New Roman" w:hAnsi="Times New Roman"/>
        <w:sz w:val="24"/>
        <w:szCs w:val="24"/>
      </w:rPr>
    </w:pPr>
    <w:bookmarkStart w:colFirst="0" w:colLast="0" w:name="_v2z64u838avg" w:id="2"/>
    <w:bookmarkEnd w:id="2"/>
    <w:r w:rsidDel="00000000" w:rsidR="00000000" w:rsidRPr="00000000">
      <w:rPr>
        <w:rtl w:val="0"/>
      </w:rPr>
    </w:r>
  </w:p>
  <w:p w:rsidR="00000000" w:rsidDel="00000000" w:rsidP="00000000" w:rsidRDefault="00000000" w:rsidRPr="00000000" w14:paraId="0000004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Style w:val="Heading1"/>
      <w:keepLines w:val="0"/>
      <w:widowControl w:val="0"/>
      <w:pBdr>
        <w:top w:color="000000" w:space="15" w:sz="0" w:val="none"/>
      </w:pBdr>
      <w:spacing w:after="0" w:before="0" w:line="240" w:lineRule="auto"/>
      <w:jc w:val="center"/>
      <w:rPr>
        <w:rFonts w:ascii="Times New Roman" w:cs="Times New Roman" w:eastAsia="Times New Roman" w:hAnsi="Times New Roman"/>
        <w:b w:val="1"/>
        <w:bCs w:val="1"/>
        <w:color w:val="475569"/>
        <w:sz w:val="24"/>
        <w:szCs w:val="24"/>
      </w:rPr>
    </w:pPr>
    <w:bookmarkStart w:colFirst="0" w:colLast="0" w:name="_vqd8g075n3h9" w:id="3"/>
    <w:bookmarkEnd w:id="3"/>
    <w:r w:rsidDel="00000000" w:rsidR="00000000" w:rsidRPr="00000000">
      <w:rPr>
        <w:rFonts w:ascii="Times New Roman" w:cs="Times New Roman" w:eastAsia="Times New Roman" w:hAnsi="Times New Roman"/>
        <w:b w:val="1"/>
        <w:bCs w:val="1"/>
        <w:color w:val="475569"/>
        <w:sz w:val="24"/>
        <w:szCs w:val="24"/>
      </w:rPr>
      <w:drawing>
        <wp:inline distB="114300" distT="114300" distL="114300" distR="114300">
          <wp:extent cx="2073183" cy="1243013"/>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073183" cy="1243013"/>
                  </a:xfrm>
                  <a:prstGeom prst="rect"/>
                  <a:ln/>
                </pic:spPr>
              </pic:pic>
            </a:graphicData>
          </a:graphic>
        </wp:inline>
      </w:drawing>
    </w:r>
    <w:r w:rsidDel="00000000" w:rsidR="00000000" w:rsidRPr="00000000">
      <w:rPr>
        <w:rtl w:val="0"/>
      </w:rPr>
    </w:r>
  </w:p>
  <w:p w:rsidR="00000000" w:rsidDel="00000000" w:rsidP="00000000" w:rsidRDefault="00000000" w:rsidRPr="00000000" w14:paraId="00000045">
    <w:pPr>
      <w:pStyle w:val="Heading1"/>
      <w:keepLines w:val="0"/>
      <w:widowControl w:val="0"/>
      <w:pBdr>
        <w:top w:color="auto" w:space="15" w:sz="0" w:val="none"/>
      </w:pBdr>
      <w:spacing w:after="0" w:before="0" w:line="240" w:lineRule="auto"/>
      <w:jc w:val="center"/>
      <w:rPr>
        <w:rFonts w:ascii="Times New Roman" w:cs="Times New Roman" w:eastAsia="Times New Roman" w:hAnsi="Times New Roman"/>
        <w:b w:val="1"/>
        <w:bCs w:val="1"/>
        <w:color w:val="475569"/>
        <w:sz w:val="28"/>
        <w:szCs w:val="28"/>
      </w:rPr>
    </w:pPr>
    <w:bookmarkStart w:colFirst="0" w:colLast="0" w:name="_96uqvs55kfo2" w:id="4"/>
    <w:bookmarkEnd w:id="4"/>
    <w:r w:rsidDel="00000000" w:rsidR="00000000" w:rsidRPr="00000000">
      <w:rPr>
        <w:rFonts w:ascii="Times New Roman" w:cs="Times New Roman" w:eastAsia="Times New Roman" w:hAnsi="Times New Roman"/>
        <w:b w:val="1"/>
        <w:bCs w:val="1"/>
        <w:color w:val="475569"/>
        <w:sz w:val="28"/>
        <w:szCs w:val="28"/>
        <w:rtl w:val="0"/>
      </w:rPr>
      <w:t xml:space="preserve">SARATOGA </w:t>
    </w:r>
    <w:r w:rsidDel="00000000" w:rsidR="00000000" w:rsidRPr="00000000">
      <w:rPr>
        <w:rFonts w:ascii="Times New Roman" w:cs="Times New Roman" w:eastAsia="Times New Roman" w:hAnsi="Times New Roman"/>
        <w:b w:val="1"/>
        <w:bCs w:val="1"/>
        <w:color w:val="475569"/>
        <w:sz w:val="28"/>
        <w:szCs w:val="28"/>
        <w:rtl w:val="0"/>
      </w:rPr>
      <w:t xml:space="preserve">COUNTY</w:t>
    </w:r>
    <w:r w:rsidDel="00000000" w:rsidR="00000000" w:rsidRPr="00000000">
      <w:rPr>
        <w:rFonts w:ascii="Times New Roman" w:cs="Times New Roman" w:eastAsia="Times New Roman" w:hAnsi="Times New Roman"/>
        <w:b w:val="1"/>
        <w:bCs w:val="1"/>
        <w:color w:val="475569"/>
        <w:sz w:val="28"/>
        <w:szCs w:val="28"/>
        <w:rtl w:val="0"/>
      </w:rPr>
      <w:t xml:space="preserve"> CAPITAL RESOURCE CORP.</w:t>
    </w:r>
  </w:p>
  <w:p w:rsidR="00000000" w:rsidDel="00000000" w:rsidP="00000000" w:rsidRDefault="00000000" w:rsidRPr="00000000" w14:paraId="00000046">
    <w:pPr>
      <w:keepNext w:val="1"/>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February 12, 2026</w:t>
    </w:r>
  </w:p>
  <w:p w:rsidR="00000000" w:rsidDel="00000000" w:rsidP="00000000" w:rsidRDefault="00000000" w:rsidRPr="00000000" w14:paraId="00000047">
    <w:pPr>
      <w:keepNext w:val="1"/>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Saratoga County Municipal Center</w:t>
    </w:r>
  </w:p>
  <w:p w:rsidR="00000000" w:rsidDel="00000000" w:rsidP="00000000" w:rsidRDefault="00000000" w:rsidRPr="00000000" w14:paraId="00000048">
    <w:pPr>
      <w:keepNext w:val="1"/>
      <w:widowControl w:val="0"/>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 McMaster Street, Ballston Spa, NY</w:t>
    </w:r>
  </w:p>
  <w:p w:rsidR="00000000" w:rsidDel="00000000" w:rsidP="00000000" w:rsidRDefault="00000000" w:rsidRPr="00000000" w14:paraId="00000049">
    <w:pPr>
      <w:keepNext w:val="1"/>
      <w:widowControl w:val="0"/>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keepNext w:val="1"/>
      <w:widowControl w:val="0"/>
      <w:spacing w:line="240" w:lineRule="auto"/>
      <w:jc w:val="center"/>
      <w:rPr>
        <w:b w:val="1"/>
        <w:bCs w:val="1"/>
      </w:rPr>
    </w:pPr>
    <w:r w:rsidDel="00000000" w:rsidR="00000000" w:rsidRPr="00000000">
      <w:rPr>
        <w:rFonts w:ascii="Times New Roman" w:cs="Times New Roman" w:eastAsia="Times New Roman" w:hAnsi="Times New Roman"/>
        <w:b w:val="1"/>
        <w:bCs w:val="1"/>
        <w:sz w:val="24"/>
        <w:szCs w:val="24"/>
        <w:rtl w:val="0"/>
      </w:rPr>
      <w:t xml:space="preserve">Meeting Minutes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