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bookmarkStart w:colFirst="0" w:colLast="0" w:name="_3ty9mflkkw90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Tab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Present: Arthur Johnson, Anthony Morelli, Mark Hillman, Valerie Muratori, Heidi Owen West, Scott Ostrander, Ian Murray, 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Staff: Mike Sharp CFO; Matthew Veitch, CEO; Katherine Tiedemann, Administrative Secretary; James Carminucci, Counsel,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Chris Canada; Counsel 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Others Present: Sarah Burger, Supervisor, City of Saratoga Springs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Call to Order at 4:34 pm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of March 10, 2026 Audit Committee Meeting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Johnson made a motion to approve the minutes for March 10, 2026 and it was seconded by Ms. Muratori. There was no further discussion. All board members voted in favor. 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Approval of February 12, 2026 Meeting Minutes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Hillman made a motion to approve the minutes for February 12, 2026 and it was seconded by Ms. Muratori. There was no further discussion. All board members voted in favor.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Roboto" w:cs="Roboto" w:eastAsia="Roboto" w:hAnsi="Roboto"/>
          <w:b w:val="1"/>
          <w:bCs w:val="1"/>
          <w:color w:val="47556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Invoices for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Approved payments for</w:t>
      </w:r>
    </w:p>
    <w:p w:rsidR="00000000" w:rsidDel="00000000" w:rsidP="00000000" w:rsidRDefault="00000000" w:rsidRPr="00000000" w14:paraId="0000000E">
      <w:pPr>
        <w:keepLines w:val="1"/>
        <w:widowControl w:val="0"/>
        <w:numPr>
          <w:ilvl w:val="0"/>
          <w:numId w:val="1"/>
        </w:numPr>
        <w:spacing w:after="6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Cusack &amp; Company CPA’s - $4,500.00</w:t>
      </w:r>
    </w:p>
    <w:p w:rsidR="00000000" w:rsidDel="00000000" w:rsidP="00000000" w:rsidRDefault="00000000" w:rsidRPr="00000000" w14:paraId="0000000F">
      <w:pPr>
        <w:keepLines w:val="1"/>
        <w:widowControl w:val="0"/>
        <w:numPr>
          <w:ilvl w:val="0"/>
          <w:numId w:val="1"/>
        </w:numPr>
        <w:spacing w:after="6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Great American Insurance - $1,274.00</w:t>
      </w:r>
    </w:p>
    <w:p w:rsidR="00000000" w:rsidDel="00000000" w:rsidP="00000000" w:rsidRDefault="00000000" w:rsidRPr="00000000" w14:paraId="00000010">
      <w:pPr>
        <w:keepLines w:val="1"/>
        <w:widowControl w:val="0"/>
        <w:numPr>
          <w:ilvl w:val="0"/>
          <w:numId w:val="1"/>
        </w:numPr>
        <w:spacing w:after="6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Philadelphia Insurance - $2,487.01</w:t>
      </w:r>
    </w:p>
    <w:p w:rsidR="00000000" w:rsidDel="00000000" w:rsidP="00000000" w:rsidRDefault="00000000" w:rsidRPr="00000000" w14:paraId="00000011">
      <w:pPr>
        <w:keepLines w:val="1"/>
        <w:widowControl w:val="0"/>
        <w:numPr>
          <w:ilvl w:val="0"/>
          <w:numId w:val="1"/>
        </w:numPr>
        <w:spacing w:after="6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Web Instinct - $175.00</w:t>
      </w:r>
    </w:p>
    <w:p w:rsidR="00000000" w:rsidDel="00000000" w:rsidP="00000000" w:rsidRDefault="00000000" w:rsidRPr="00000000" w14:paraId="00000012">
      <w:pPr>
        <w:keepLines w:val="1"/>
        <w:widowControl w:val="0"/>
        <w:numPr>
          <w:ilvl w:val="0"/>
          <w:numId w:val="1"/>
        </w:numPr>
        <w:spacing w:after="6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Katie Tiedemann - $450.00</w:t>
      </w:r>
    </w:p>
    <w:p w:rsidR="00000000" w:rsidDel="00000000" w:rsidP="00000000" w:rsidRDefault="00000000" w:rsidRPr="00000000" w14:paraId="00000013">
      <w:pPr>
        <w:keepLines w:val="1"/>
        <w:widowControl w:val="0"/>
        <w:numPr>
          <w:ilvl w:val="0"/>
          <w:numId w:val="1"/>
        </w:numPr>
        <w:spacing w:after="60"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Matthew Veitch - $675.00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Debit Card Purchases for Approval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required by policy, but the board is formally reviewing debit card transactions for transparency.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Recent major purchases: Antivirus software for laptop (expired, replaced) and Microsoft 365 annual subscription.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receipts available for examination and stored for audit.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Ms. Muratori made a motion to approve the purchases and it was seconded by Mr. Hillman. There was no further discussion. All board members voted in favor.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 2026 Q1 Financials</w:t>
      </w:r>
    </w:p>
    <w:p w:rsidR="00000000" w:rsidDel="00000000" w:rsidP="00000000" w:rsidRDefault="00000000" w:rsidRPr="00000000" w14:paraId="0000001E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Transitioned from QuickBooks to Excel for general ledger due to increasing costs and nonessential features in QuickBooks; aim is to ensure continuity and access.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Q1 was typical in activity and matched expectations.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Balance Sheet and Reconciliation presented. Three CDs, totaling just under $65,000.</w:t>
      </w:r>
    </w:p>
    <w:p w:rsidR="00000000" w:rsidDel="00000000" w:rsidP="00000000" w:rsidRDefault="00000000" w:rsidRPr="00000000" w14:paraId="00000022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 current CDs are with Capital Bank—chosen for best rates and to avoid conflict of interest. 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CDs typically roll over every six months; all will auto-renew within the year.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raised idea of shopping CD rates at other institutions via an RFP or informal process.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ABO filing status</w:t>
      </w:r>
    </w:p>
    <w:p w:rsidR="00000000" w:rsidDel="00000000" w:rsidP="00000000" w:rsidRDefault="00000000" w:rsidRPr="00000000" w14:paraId="00000029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ABO (Authorities Budget Office) Filing for the year is complete and accepted. Included new bond issuance reporting for BOCES project. No issues raised by ABO.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Hillman made a motion to continue with Cusack and Co for the next fiscal year and it was seconded by Mr. Murray. There was no further discussion. All board members voted in favor. </w:t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Internal Audit</w:t>
      </w:r>
    </w:p>
    <w:p w:rsidR="00000000" w:rsidDel="00000000" w:rsidP="00000000" w:rsidRDefault="00000000" w:rsidRPr="00000000" w14:paraId="0000002F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Internal Audit conducted by Cusack &amp; Company: No findings; strong internal controls. Engagement letter signed for next year’s audit.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The following resolution was offered by Ms. Muratori and seconded by Ms. West</w:t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Resolution No. 4-2026</w:t>
      </w:r>
    </w:p>
    <w:p w:rsidR="00000000" w:rsidDel="00000000" w:rsidP="00000000" w:rsidRDefault="00000000" w:rsidRPr="00000000" w14:paraId="0000003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Resolved to accept the independent audit report, as recommended by the Audit Committee.</w:t>
      </w:r>
    </w:p>
    <w:p w:rsidR="00000000" w:rsidDel="00000000" w:rsidP="00000000" w:rsidRDefault="00000000" w:rsidRPr="00000000" w14:paraId="00000035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Ayes -7</w:t>
      </w:r>
    </w:p>
    <w:p w:rsidR="00000000" w:rsidDel="00000000" w:rsidP="00000000" w:rsidRDefault="00000000" w:rsidRPr="00000000" w14:paraId="00000036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Noes - 0</w:t>
      </w:r>
    </w:p>
    <w:p w:rsidR="00000000" w:rsidDel="00000000" w:rsidP="00000000" w:rsidRDefault="00000000" w:rsidRPr="00000000" w14:paraId="00000037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Adopted 7-0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Audit Committee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Allowing CEO debit card use, up to $1,000 per purchase (accommodating group event fees, etc.).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Purchases above $1,000 require a check with two signatures.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Removed QuickBooks requirement from financial policies; now mandates only appropriate software.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Debit card purchases to be a recurring agenda item for transparency.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The following resolution was offered by Mr. Johnson and seconded by Mr. Hillman</w:t>
      </w:r>
    </w:p>
    <w:p w:rsidR="00000000" w:rsidDel="00000000" w:rsidP="00000000" w:rsidRDefault="00000000" w:rsidRPr="00000000" w14:paraId="00000041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Resolution No. 5-2026</w:t>
      </w:r>
    </w:p>
    <w:p w:rsidR="00000000" w:rsidDel="00000000" w:rsidP="00000000" w:rsidRDefault="00000000" w:rsidRPr="00000000" w14:paraId="00000042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Resolved to accept the Internal Controls Policy Amendments, as recommended by the Audit Committee.</w:t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Ayes - 7</w:t>
      </w:r>
    </w:p>
    <w:p w:rsidR="00000000" w:rsidDel="00000000" w:rsidP="00000000" w:rsidRDefault="00000000" w:rsidRPr="00000000" w14:paraId="00000044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Noes - 0</w:t>
      </w:r>
    </w:p>
    <w:p w:rsidR="00000000" w:rsidDel="00000000" w:rsidP="00000000" w:rsidRDefault="00000000" w:rsidRPr="00000000" w14:paraId="00000045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Adopted 7-0</w:t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The following resolution was offered by Mr. Murray and seconded by Mr. Hillman</w:t>
      </w:r>
    </w:p>
    <w:p w:rsidR="00000000" w:rsidDel="00000000" w:rsidP="00000000" w:rsidRDefault="00000000" w:rsidRPr="00000000" w14:paraId="00000047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Resolution No. 6-2026</w:t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Resolved to accept the Audit Charter Amendments, as recommended by the Audit Committee.</w:t>
      </w:r>
    </w:p>
    <w:p w:rsidR="00000000" w:rsidDel="00000000" w:rsidP="00000000" w:rsidRDefault="00000000" w:rsidRPr="00000000" w14:paraId="00000049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Ayes - 7</w:t>
      </w:r>
    </w:p>
    <w:p w:rsidR="00000000" w:rsidDel="00000000" w:rsidP="00000000" w:rsidRDefault="00000000" w:rsidRPr="00000000" w14:paraId="0000004A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Noes - 0</w:t>
      </w:r>
    </w:p>
    <w:p w:rsidR="00000000" w:rsidDel="00000000" w:rsidP="00000000" w:rsidRDefault="00000000" w:rsidRPr="00000000" w14:paraId="0000004B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Adopted 7-0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Update - Proposed Code Blue Facility</w:t>
      </w:r>
    </w:p>
    <w:p w:rsidR="00000000" w:rsidDel="00000000" w:rsidP="00000000" w:rsidRDefault="00000000" w:rsidRPr="00000000" w14:paraId="0000004F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County held required public hearing: All feedback was positive. County approved SEQR (State Environmental Quality Review) and lease to CRC.</w:t>
      </w:r>
    </w:p>
    <w:p w:rsidR="00000000" w:rsidDel="00000000" w:rsidP="00000000" w:rsidRDefault="00000000" w:rsidRPr="00000000" w14:paraId="00000051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Ambiguity in CRC’s charter regarding further public hearing, but plan to hold one Following the public hearing, CRC will submit documentation to: State Comptroller, DOB, OGS Commissioner, Authorities Budget Office, and State Legislature. A 90-day waiting period follows. Goal to  Finalize leases by September 2026, with execution by Board Chair.</w:t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Lease to shelters organization will mirror lease from county to CRC.</w:t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Plan for a special board meeting post-public hearing (since next regular meetings are July and October).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 Hearing Date Set: June 8, 2026, at 5:00 pm, in the large meeting room.</w:t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Notice to be posted in paper; all documentation to be sent to board a week in advance.</w:t>
      </w:r>
    </w:p>
    <w:p w:rsidR="00000000" w:rsidDel="00000000" w:rsidP="00000000" w:rsidRDefault="00000000" w:rsidRPr="00000000" w14:paraId="0000005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Need board quorum at hearing; county staff on-site after hours is required.</w:t>
      </w:r>
    </w:p>
    <w:p w:rsidR="00000000" w:rsidDel="00000000" w:rsidP="00000000" w:rsidRDefault="00000000" w:rsidRPr="00000000" w14:paraId="00000059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Update - Small Business Grant Program</w:t>
      </w:r>
    </w:p>
    <w:p w:rsidR="00000000" w:rsidDel="00000000" w:rsidP="00000000" w:rsidRDefault="00000000" w:rsidRPr="00000000" w14:paraId="0000005B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$25,000 grant from county received; funds now deposited.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Ongoing research/discussion with Washington County LDC model, Information gathered on their loan and grant processes as reference.</w:t>
      </w:r>
    </w:p>
    <w:p w:rsidR="00000000" w:rsidDel="00000000" w:rsidP="00000000" w:rsidRDefault="00000000" w:rsidRPr="00000000" w14:paraId="0000005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Typical model: CRC funds match shortfall on projects already partially covered by bank loans, benefiting from prior credit review by banks.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Policy/workplan for disbursement to be drafted, likely later this year.</w:t>
      </w:r>
    </w:p>
    <w:p w:rsidR="00000000" w:rsidDel="00000000" w:rsidP="00000000" w:rsidRDefault="00000000" w:rsidRPr="00000000" w14:paraId="0000006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Proposal to Use a portion of grant to support Chamber’s Institute for Management (scholarships for small business managers). Past support noted; this year, proposal is $11,000 for six full scholarships over two six-week sessions ($945/scholarship/session). Board consensus to table decision until July meeting for further discussion and program/policy development.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Grant Applications Received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Two grant applications reviewed (from a $15,000 annual budget, $8,000 previously awarded, so $7,000 available):</w:t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Therapeutic Horses of Saratoga: Requested $8,000 (exceeds per-grant maximum). Provides equine assisted therapy, educational and skill-building workshops.</w:t>
      </w:r>
    </w:p>
    <w:p w:rsidR="00000000" w:rsidDel="00000000" w:rsidP="00000000" w:rsidRDefault="00000000" w:rsidRPr="00000000" w14:paraId="0000006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Franklin Community Center – Project LIFT: Requested $5,000 (at maximum); program offers afterschool support to children in need; long-standing and well-regarded locally.</w:t>
      </w:r>
    </w:p>
    <w:p w:rsidR="00000000" w:rsidDel="00000000" w:rsidP="00000000" w:rsidRDefault="00000000" w:rsidRPr="00000000" w14:paraId="0000006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Award $2,000 each to both applicants (Therapeutic Horses and Project LIFT), leaving $3,000 for additional grants in the year.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Letters to be drafted and signed, with board/leadership to deliver checks in person and arrange for press/social media coverage.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The following resolution was offered by Mr. Hillman and seconded by Mr. Johnson </w:t>
      </w:r>
    </w:p>
    <w:p w:rsidR="00000000" w:rsidDel="00000000" w:rsidP="00000000" w:rsidRDefault="00000000" w:rsidRPr="00000000" w14:paraId="0000006B">
      <w:pPr>
        <w:spacing w:after="240" w:before="24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Resolution No. 7 -2026</w:t>
      </w:r>
    </w:p>
    <w:p w:rsidR="00000000" w:rsidDel="00000000" w:rsidP="00000000" w:rsidRDefault="00000000" w:rsidRPr="00000000" w14:paraId="0000006C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Resolved to award $2,000 each to the following applicants: Therapeutic Horses and Project LIFT.</w:t>
      </w:r>
    </w:p>
    <w:p w:rsidR="00000000" w:rsidDel="00000000" w:rsidP="00000000" w:rsidRDefault="00000000" w:rsidRPr="00000000" w14:paraId="0000006D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Ayes - 7</w:t>
      </w:r>
    </w:p>
    <w:p w:rsidR="00000000" w:rsidDel="00000000" w:rsidP="00000000" w:rsidRDefault="00000000" w:rsidRPr="00000000" w14:paraId="0000006E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Noes - 0</w:t>
      </w:r>
    </w:p>
    <w:p w:rsidR="00000000" w:rsidDel="00000000" w:rsidP="00000000" w:rsidRDefault="00000000" w:rsidRPr="00000000" w14:paraId="0000006F">
      <w:pPr>
        <w:spacing w:after="240" w:before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Adopted 7-0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Lines w:val="1"/>
        <w:widowControl w:val="0"/>
        <w:spacing w:after="6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Meeting Scheduling and Committee Appointments</w:t>
      </w:r>
    </w:p>
    <w:p w:rsidR="00000000" w:rsidDel="00000000" w:rsidP="00000000" w:rsidRDefault="00000000" w:rsidRPr="00000000" w14:paraId="0000007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Scheduled for July 23, 2026, at 4:30 pm. Preceded by committee meetings as needed.</w:t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 Hearing Date Set: June 8, 2026, at 5:00 pm, in the large meeting room.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The meeting adjourned at 5:22 pm.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Mr. Johnson made a motion to adjourn at 5:22 pm, Mr. Hillman seconded. Next meeting is set for  July 23, 2026, at 4:30 pm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40"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Secretary________________________________  Date__________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type w:val="nextPage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Style w:val="Heading1"/>
      <w:keepLines w:val="0"/>
      <w:widowControl w:val="0"/>
      <w:pBdr>
        <w:top w:color="auto" w:space="15" w:sz="0" w:val="none"/>
      </w:pBdr>
      <w:spacing w:after="0" w:before="480" w:line="240" w:lineRule="auto"/>
      <w:rPr>
        <w:rFonts w:ascii="Times New Roman" w:cs="Times New Roman" w:eastAsia="Times New Roman" w:hAnsi="Times New Roman"/>
        <w:sz w:val="24"/>
        <w:szCs w:val="24"/>
      </w:rPr>
    </w:pPr>
    <w:bookmarkStart w:colFirst="0" w:colLast="0" w:name="_v2z64u838avg" w:id="1"/>
    <w:bookmarkEnd w:id="1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spacing w:line="240" w:lineRule="auto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Style w:val="Heading1"/>
      <w:keepLines w:val="0"/>
      <w:widowControl w:val="0"/>
      <w:pBdr>
        <w:top w:color="000000" w:space="15" w:sz="0" w:val="none"/>
      </w:pBdr>
      <w:spacing w:after="0" w:before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475569"/>
        <w:sz w:val="24"/>
        <w:szCs w:val="24"/>
      </w:rPr>
    </w:pPr>
    <w:bookmarkStart w:colFirst="0" w:colLast="0" w:name="_vqd8g075n3h9" w:id="2"/>
    <w:bookmarkEnd w:id="2"/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475569"/>
        <w:sz w:val="24"/>
        <w:szCs w:val="24"/>
      </w:rPr>
      <w:drawing>
        <wp:inline distB="114300" distT="114300" distL="114300" distR="114300">
          <wp:extent cx="2073183" cy="124301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183" cy="12430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Style w:val="Heading1"/>
      <w:keepLines w:val="0"/>
      <w:widowControl w:val="0"/>
      <w:pBdr>
        <w:top w:color="auto" w:space="15" w:sz="0" w:val="none"/>
      </w:pBdr>
      <w:spacing w:after="0" w:before="0" w:line="240" w:lineRule="auto"/>
      <w:jc w:val="center"/>
      <w:rPr>
        <w:rFonts w:ascii="Times New Roman" w:cs="Times New Roman" w:eastAsia="Times New Roman" w:hAnsi="Times New Roman"/>
        <w:b w:val="1"/>
        <w:bCs w:val="1"/>
        <w:color w:val="475569"/>
        <w:sz w:val="28"/>
        <w:szCs w:val="28"/>
      </w:rPr>
    </w:pPr>
    <w:bookmarkStart w:colFirst="0" w:colLast="0" w:name="_96uqvs55kfo2" w:id="3"/>
    <w:bookmarkEnd w:id="3"/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475569"/>
        <w:sz w:val="28"/>
        <w:szCs w:val="28"/>
        <w:rtl w:val="0"/>
      </w:rPr>
      <w:t xml:space="preserve">SARATOGA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475569"/>
        <w:sz w:val="28"/>
        <w:szCs w:val="28"/>
        <w:rtl w:val="0"/>
      </w:rPr>
      <w:t xml:space="preserve">COUNTY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475569"/>
        <w:sz w:val="28"/>
        <w:szCs w:val="28"/>
        <w:rtl w:val="0"/>
      </w:rPr>
      <w:t xml:space="preserve"> CAPITAL RESOURCE CORP.</w:t>
    </w:r>
  </w:p>
  <w:p w:rsidR="00000000" w:rsidDel="00000000" w:rsidP="00000000" w:rsidRDefault="00000000" w:rsidRPr="00000000" w14:paraId="00000083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May 12, 2026</w:t>
    </w:r>
  </w:p>
  <w:p w:rsidR="00000000" w:rsidDel="00000000" w:rsidP="00000000" w:rsidRDefault="00000000" w:rsidRPr="00000000" w14:paraId="00000084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Saratoga County Municipal Center</w:t>
    </w:r>
  </w:p>
  <w:p w:rsidR="00000000" w:rsidDel="00000000" w:rsidP="00000000" w:rsidRDefault="00000000" w:rsidRPr="00000000" w14:paraId="00000085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50 McMaster Street, Ballston Spa, NY</w:t>
    </w:r>
  </w:p>
  <w:p w:rsidR="00000000" w:rsidDel="00000000" w:rsidP="00000000" w:rsidRDefault="00000000" w:rsidRPr="00000000" w14:paraId="00000086">
    <w:pPr>
      <w:keepNext w:val="1"/>
      <w:widowControl w:val="0"/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keepNext w:val="1"/>
      <w:widowControl w:val="0"/>
      <w:spacing w:line="240" w:lineRule="auto"/>
      <w:jc w:val="center"/>
      <w:rPr>
        <w:b w:val="1"/>
        <w:b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Meeting Minutes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